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pacing w:line="340" w:lineRule="exact"/>
        <w:textAlignment w:val="center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5</w:t>
      </w:r>
    </w:p>
    <w:tbl>
      <w:tblPr>
        <w:tblStyle w:val="3"/>
        <w:tblpPr w:leftFromText="180" w:rightFromText="180" w:vertAnchor="text" w:horzAnchor="page" w:tblpX="903" w:tblpY="301"/>
        <w:tblOverlap w:val="never"/>
        <w:tblW w:w="15374" w:type="dxa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385"/>
        <w:gridCol w:w="1982"/>
        <w:gridCol w:w="1090"/>
        <w:gridCol w:w="2336"/>
        <w:gridCol w:w="2766"/>
        <w:gridCol w:w="1385"/>
        <w:gridCol w:w="1385"/>
        <w:gridCol w:w="1385"/>
        <w:gridCol w:w="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3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贵州商学院2022届求职创业补贴发放表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制表单位（盖章):</w:t>
            </w:r>
          </w:p>
        </w:tc>
        <w:tc>
          <w:tcPr>
            <w:tcW w:w="49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金额单位：（元）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学院名称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农业银行账号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应发金额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实发金额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学历层次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合计金额大写：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37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部门负责人意见：                                                        制表人：                    制表日期：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749F6"/>
    <w:rsid w:val="21B7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